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6BC7D325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CB00D9" w:rsidRPr="00D11F4E">
        <w:rPr>
          <w:rFonts w:ascii="Century Gothic" w:hAnsi="Century Gothic"/>
          <w:sz w:val="28"/>
          <w:szCs w:val="24"/>
        </w:rPr>
        <w:t xml:space="preserve">05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756569">
        <w:rPr>
          <w:rFonts w:ascii="Century Gothic" w:hAnsi="Century Gothic"/>
          <w:sz w:val="28"/>
          <w:szCs w:val="24"/>
        </w:rPr>
        <w:t>febrero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756569">
        <w:rPr>
          <w:rFonts w:ascii="Century Gothic" w:hAnsi="Century Gothic"/>
          <w:sz w:val="28"/>
          <w:szCs w:val="24"/>
        </w:rPr>
        <w:t>3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D978AC1" w14:textId="756FEBF8" w:rsidR="00201B85" w:rsidRDefault="00201B8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que </w:t>
      </w:r>
      <w:r w:rsidR="00C01275">
        <w:rPr>
          <w:rFonts w:ascii="Century Gothic" w:hAnsi="Century Gothic"/>
          <w:sz w:val="28"/>
          <w:szCs w:val="24"/>
        </w:rPr>
        <w:t xml:space="preserve">al mes de </w:t>
      </w:r>
      <w:r w:rsidR="00756569">
        <w:rPr>
          <w:rFonts w:ascii="Century Gothic" w:hAnsi="Century Gothic"/>
          <w:sz w:val="28"/>
          <w:szCs w:val="24"/>
        </w:rPr>
        <w:t>enero</w:t>
      </w:r>
      <w:r w:rsidR="00CB00D9" w:rsidRPr="00D11F4E">
        <w:rPr>
          <w:rFonts w:ascii="Century Gothic" w:hAnsi="Century Gothic"/>
          <w:sz w:val="28"/>
          <w:szCs w:val="24"/>
        </w:rPr>
        <w:t xml:space="preserve">, no se </w:t>
      </w:r>
      <w:r w:rsidR="00C01275">
        <w:rPr>
          <w:rFonts w:ascii="Century Gothic" w:hAnsi="Century Gothic"/>
          <w:sz w:val="28"/>
          <w:szCs w:val="24"/>
        </w:rPr>
        <w:t xml:space="preserve">cuenta con la autorización de los obligados para publicar sus declaraciones patrimoniales, lo anterior, de conformidad con el articulo 100 de la Ley de </w:t>
      </w:r>
      <w:proofErr w:type="gramStart"/>
      <w:r w:rsidR="00C01275">
        <w:rPr>
          <w:rFonts w:ascii="Century Gothic" w:hAnsi="Century Gothic"/>
          <w:sz w:val="28"/>
          <w:szCs w:val="24"/>
        </w:rPr>
        <w:t>Responsabilidades  de</w:t>
      </w:r>
      <w:proofErr w:type="gramEnd"/>
      <w:r w:rsidR="00C01275">
        <w:rPr>
          <w:rFonts w:ascii="Century Gothic" w:hAnsi="Century Gothic"/>
          <w:sz w:val="28"/>
          <w:szCs w:val="24"/>
        </w:rPr>
        <w:t xml:space="preserve"> los Servidores Públicos del Estado de Jalisco, en el cual señala:</w:t>
      </w:r>
    </w:p>
    <w:p w14:paraId="5A2BB5F7" w14:textId="77777777" w:rsidR="00C01275" w:rsidRDefault="00C0127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1F57F80C" w14:textId="176ACBB0" w:rsidR="00CB00D9" w:rsidRDefault="00C01275" w:rsidP="00CB63F9">
      <w:pPr>
        <w:spacing w:after="0"/>
        <w:jc w:val="both"/>
        <w:rPr>
          <w:rFonts w:ascii="Century Gothic" w:hAnsi="Century Gothic"/>
          <w:i/>
          <w:iCs/>
          <w:sz w:val="28"/>
          <w:szCs w:val="24"/>
        </w:rPr>
      </w:pPr>
      <w:r w:rsidRPr="00C01275">
        <w:rPr>
          <w:rFonts w:ascii="Century Gothic" w:hAnsi="Century Gothic"/>
          <w:i/>
          <w:iCs/>
          <w:sz w:val="28"/>
          <w:szCs w:val="24"/>
        </w:rPr>
        <w:t>“la publicación de la información relativa a la declaración patrimonial por parte de los entes responsables a los que se refiere el articulo 93 de la presente ley, se hará siempre y cuando se cuente con la autorización previa y especifica del servidor publico de que se trate”</w:t>
      </w:r>
    </w:p>
    <w:p w14:paraId="7714E811" w14:textId="77777777" w:rsidR="00756569" w:rsidRPr="00756569" w:rsidRDefault="00756569" w:rsidP="00CB63F9">
      <w:pPr>
        <w:spacing w:after="0"/>
        <w:jc w:val="both"/>
        <w:rPr>
          <w:rFonts w:ascii="Century Gothic" w:hAnsi="Century Gothic"/>
          <w:i/>
          <w:iCs/>
          <w:sz w:val="28"/>
          <w:szCs w:val="24"/>
        </w:rPr>
      </w:pPr>
    </w:p>
    <w:p w14:paraId="4452D3C2" w14:textId="7817B8CD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50009DE6" w14:textId="41198E94" w:rsidR="00CB63F9" w:rsidRPr="00756569" w:rsidRDefault="00CB63F9" w:rsidP="0075656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756569">
      <w:pPr>
        <w:spacing w:after="0"/>
        <w:rPr>
          <w:rFonts w:ascii="Century Gothic" w:hAnsi="Century Gothic"/>
          <w:sz w:val="28"/>
          <w:szCs w:val="24"/>
        </w:rPr>
      </w:pPr>
      <w:bookmarkStart w:id="0" w:name="_GoBack"/>
      <w:bookmarkEnd w:id="0"/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5C80"/>
    <w:rsid w:val="003743B4"/>
    <w:rsid w:val="00375C08"/>
    <w:rsid w:val="00380D8C"/>
    <w:rsid w:val="00394A80"/>
    <w:rsid w:val="003E0030"/>
    <w:rsid w:val="004A1148"/>
    <w:rsid w:val="004A2499"/>
    <w:rsid w:val="004B1CBF"/>
    <w:rsid w:val="00524801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56569"/>
    <w:rsid w:val="007720C6"/>
    <w:rsid w:val="007C308E"/>
    <w:rsid w:val="00830290"/>
    <w:rsid w:val="00835319"/>
    <w:rsid w:val="00836E77"/>
    <w:rsid w:val="008745E3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B63B0"/>
    <w:rsid w:val="00C01275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80D19"/>
    <w:rsid w:val="00EA12DD"/>
    <w:rsid w:val="00EE5D5D"/>
    <w:rsid w:val="00F0498D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11</cp:revision>
  <cp:lastPrinted>2022-06-29T16:37:00Z</cp:lastPrinted>
  <dcterms:created xsi:type="dcterms:W3CDTF">2022-05-11T17:34:00Z</dcterms:created>
  <dcterms:modified xsi:type="dcterms:W3CDTF">2023-02-09T20:18:00Z</dcterms:modified>
</cp:coreProperties>
</file>